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261" w:rsidRDefault="003F1470" w:rsidP="00947261">
      <w:pPr>
        <w:autoSpaceDE w:val="0"/>
        <w:autoSpaceDN w:val="0"/>
        <w:adjustRightInd w:val="0"/>
        <w:spacing w:after="0" w:line="240" w:lineRule="auto"/>
        <w:jc w:val="center"/>
        <w:rPr>
          <w:rFonts w:ascii="Soberana Sans" w:hAnsi="Soberana Sans" w:cs="Arial Black"/>
          <w:b/>
          <w:bCs/>
          <w:color w:val="000000"/>
          <w:sz w:val="28"/>
          <w:szCs w:val="28"/>
        </w:rPr>
      </w:pPr>
      <w:r w:rsidRPr="00A0241F">
        <w:rPr>
          <w:rFonts w:ascii="Soberana Sans" w:hAnsi="Soberana Sans" w:cs="Arial Black"/>
          <w:b/>
          <w:bCs/>
          <w:color w:val="000000"/>
          <w:sz w:val="28"/>
          <w:szCs w:val="28"/>
        </w:rPr>
        <w:t>MÓDULO 3.</w:t>
      </w:r>
    </w:p>
    <w:p w:rsidR="00D65C85" w:rsidRPr="00A0241F" w:rsidRDefault="00A9288E" w:rsidP="00947261">
      <w:pPr>
        <w:autoSpaceDE w:val="0"/>
        <w:autoSpaceDN w:val="0"/>
        <w:adjustRightInd w:val="0"/>
        <w:spacing w:after="0" w:line="240" w:lineRule="auto"/>
        <w:jc w:val="center"/>
        <w:rPr>
          <w:rFonts w:ascii="Soberana Sans" w:hAnsi="Soberana Sans" w:cs="Arial Black"/>
          <w:b/>
          <w:bCs/>
          <w:color w:val="000000"/>
          <w:sz w:val="28"/>
          <w:szCs w:val="28"/>
        </w:rPr>
      </w:pPr>
      <w:r w:rsidRPr="00A0241F">
        <w:rPr>
          <w:rFonts w:ascii="Soberana Sans" w:hAnsi="Soberana Sans" w:cs="Arial Black"/>
          <w:b/>
          <w:bCs/>
          <w:color w:val="000000"/>
          <w:sz w:val="28"/>
          <w:szCs w:val="28"/>
        </w:rPr>
        <w:t>Estrategias didácticas para el desarrollo de competencias</w:t>
      </w:r>
      <w:r w:rsidR="003F1470" w:rsidRPr="00A0241F">
        <w:rPr>
          <w:rFonts w:ascii="Soberana Sans" w:hAnsi="Soberana Sans" w:cs="Arial Black"/>
          <w:b/>
          <w:bCs/>
          <w:color w:val="000000"/>
          <w:sz w:val="28"/>
          <w:szCs w:val="28"/>
        </w:rPr>
        <w:t>.</w:t>
      </w:r>
    </w:p>
    <w:p w:rsidR="00A9288E" w:rsidRPr="00A0241F" w:rsidRDefault="00A9288E" w:rsidP="00A9288E">
      <w:pPr>
        <w:pStyle w:val="Prrafodelista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Soberana Sans" w:hAnsi="Soberana Sans" w:cs="Arial"/>
          <w:color w:val="000000"/>
          <w:sz w:val="24"/>
          <w:szCs w:val="24"/>
        </w:rPr>
      </w:pPr>
    </w:p>
    <w:p w:rsidR="00C25717" w:rsidRDefault="00490B14" w:rsidP="00490B14">
      <w:pPr>
        <w:autoSpaceDE w:val="0"/>
        <w:autoSpaceDN w:val="0"/>
        <w:adjustRightInd w:val="0"/>
        <w:spacing w:after="0" w:line="240" w:lineRule="auto"/>
        <w:jc w:val="center"/>
        <w:rPr>
          <w:rFonts w:ascii="Soberana Sans" w:hAnsi="Soberana Sans" w:cs="Arial Black"/>
          <w:b/>
          <w:bCs/>
          <w:color w:val="000000"/>
          <w:sz w:val="24"/>
          <w:szCs w:val="24"/>
        </w:rPr>
      </w:pPr>
      <w:bookmarkStart w:id="0" w:name="_GoBack"/>
      <w:r>
        <w:rPr>
          <w:rFonts w:ascii="Soberana Sans" w:hAnsi="Soberana Sans" w:cs="Arial Black"/>
          <w:b/>
          <w:bCs/>
          <w:color w:val="000000"/>
          <w:sz w:val="24"/>
          <w:szCs w:val="24"/>
        </w:rPr>
        <w:t xml:space="preserve">4. </w:t>
      </w:r>
      <w:r w:rsidR="00C25717" w:rsidRPr="00A0241F">
        <w:rPr>
          <w:rFonts w:ascii="Soberana Sans" w:hAnsi="Soberana Sans" w:cs="Arial Black"/>
          <w:b/>
          <w:bCs/>
          <w:color w:val="000000"/>
          <w:sz w:val="24"/>
          <w:szCs w:val="24"/>
        </w:rPr>
        <w:t>CONTENIDO</w:t>
      </w:r>
    </w:p>
    <w:p w:rsidR="003900DB" w:rsidRDefault="003900DB" w:rsidP="00490B14">
      <w:pPr>
        <w:autoSpaceDE w:val="0"/>
        <w:autoSpaceDN w:val="0"/>
        <w:adjustRightInd w:val="0"/>
        <w:spacing w:after="0" w:line="240" w:lineRule="auto"/>
        <w:jc w:val="center"/>
        <w:rPr>
          <w:rFonts w:ascii="Soberana Sans" w:hAnsi="Soberana Sans" w:cs="Arial Black"/>
          <w:b/>
          <w:bCs/>
          <w:color w:val="000000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8733"/>
      </w:tblGrid>
      <w:tr w:rsidR="003900DB" w:rsidTr="003900DB">
        <w:tc>
          <w:tcPr>
            <w:tcW w:w="4489" w:type="dxa"/>
          </w:tcPr>
          <w:p w:rsidR="003900DB" w:rsidRDefault="003900DB" w:rsidP="00DC79D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oberana Sans" w:hAnsi="Soberana Sans" w:cs="Arial Black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oberana Sans" w:hAnsi="Soberana Sans" w:cs="Arial Black"/>
                <w:b/>
                <w:bCs/>
                <w:color w:val="000000"/>
                <w:sz w:val="24"/>
                <w:szCs w:val="24"/>
              </w:rPr>
              <w:t>TEMAS</w:t>
            </w:r>
          </w:p>
        </w:tc>
        <w:tc>
          <w:tcPr>
            <w:tcW w:w="8733" w:type="dxa"/>
          </w:tcPr>
          <w:p w:rsidR="003900DB" w:rsidRDefault="003900DB" w:rsidP="00DC79D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oberana Sans" w:hAnsi="Soberana Sans" w:cs="Arial Black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oberana Sans" w:hAnsi="Soberana Sans" w:cs="Arial Black"/>
                <w:b/>
                <w:bCs/>
                <w:color w:val="000000"/>
                <w:sz w:val="24"/>
                <w:szCs w:val="24"/>
              </w:rPr>
              <w:t>SUBTEMAS</w:t>
            </w:r>
          </w:p>
        </w:tc>
      </w:tr>
      <w:tr w:rsidR="003900DB" w:rsidRPr="003900DB" w:rsidTr="003900DB">
        <w:tc>
          <w:tcPr>
            <w:tcW w:w="4489" w:type="dxa"/>
          </w:tcPr>
          <w:p w:rsidR="003900DB" w:rsidRPr="003900DB" w:rsidRDefault="003900DB" w:rsidP="00DC79D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oberana Sans" w:hAnsi="Soberana Sans" w:cs="Arial Black"/>
                <w:bCs/>
                <w:color w:val="000000"/>
                <w:sz w:val="24"/>
                <w:szCs w:val="24"/>
              </w:rPr>
            </w:pPr>
            <w:r w:rsidRPr="003900DB">
              <w:rPr>
                <w:rFonts w:ascii="Soberana Sans" w:hAnsi="Soberana Sans" w:cs="Arial Black"/>
                <w:bCs/>
                <w:color w:val="000000"/>
                <w:sz w:val="24"/>
                <w:szCs w:val="24"/>
              </w:rPr>
              <w:t>1. Componentes de una estrategia didáctica y aspectos que se consideran para su elaboración.</w:t>
            </w:r>
          </w:p>
        </w:tc>
        <w:tc>
          <w:tcPr>
            <w:tcW w:w="8733" w:type="dxa"/>
          </w:tcPr>
          <w:p w:rsidR="003900DB" w:rsidRPr="003900DB" w:rsidRDefault="003900DB" w:rsidP="00DC79D1">
            <w:pPr>
              <w:pStyle w:val="Prrafodelista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Soberana Sans" w:hAnsi="Soberana Sans" w:cs="Arial"/>
                <w:color w:val="000000"/>
                <w:sz w:val="24"/>
                <w:szCs w:val="24"/>
              </w:rPr>
            </w:pPr>
            <w:r w:rsidRPr="003900DB">
              <w:rPr>
                <w:rFonts w:ascii="Soberana Sans" w:hAnsi="Soberana Sans" w:cs="Arial"/>
                <w:color w:val="000000"/>
                <w:sz w:val="24"/>
                <w:szCs w:val="24"/>
              </w:rPr>
              <w:t xml:space="preserve">Estrategia didáctica, de enseñanza y de aprendizaje; técnicas de enseñanza y de aprendizaje, actividades de enseñanza y de aprendizaje. </w:t>
            </w:r>
          </w:p>
          <w:p w:rsidR="003900DB" w:rsidRPr="003900DB" w:rsidRDefault="003900DB" w:rsidP="00DC79D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oberana Sans" w:hAnsi="Soberana Sans" w:cs="Arial Black"/>
                <w:bCs/>
                <w:color w:val="000000"/>
                <w:sz w:val="24"/>
                <w:szCs w:val="24"/>
              </w:rPr>
            </w:pPr>
          </w:p>
        </w:tc>
      </w:tr>
      <w:bookmarkEnd w:id="0"/>
      <w:tr w:rsidR="003900DB" w:rsidRPr="003900DB" w:rsidTr="003900DB">
        <w:tc>
          <w:tcPr>
            <w:tcW w:w="4489" w:type="dxa"/>
          </w:tcPr>
          <w:p w:rsidR="003900DB" w:rsidRPr="003900DB" w:rsidRDefault="003900DB" w:rsidP="00DC79D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oberana Sans" w:hAnsi="Soberana Sans" w:cs="Arial Black"/>
                <w:bCs/>
                <w:color w:val="000000"/>
                <w:sz w:val="24"/>
                <w:szCs w:val="24"/>
              </w:rPr>
            </w:pPr>
            <w:r w:rsidRPr="003900DB">
              <w:rPr>
                <w:rFonts w:ascii="Soberana Sans" w:hAnsi="Soberana Sans" w:cs="Arial Black"/>
                <w:bCs/>
                <w:color w:val="000000"/>
                <w:sz w:val="24"/>
                <w:szCs w:val="24"/>
              </w:rPr>
              <w:t>2. Estilos de aprendizaje, inteligencias múltiples y escenarios de aprendizaje.</w:t>
            </w:r>
          </w:p>
        </w:tc>
        <w:tc>
          <w:tcPr>
            <w:tcW w:w="8733" w:type="dxa"/>
          </w:tcPr>
          <w:p w:rsidR="003900DB" w:rsidRPr="003900DB" w:rsidRDefault="003900DB" w:rsidP="00DC79D1">
            <w:pPr>
              <w:pStyle w:val="Prrafodelista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Soberana Sans" w:hAnsi="Soberana Sans" w:cs="Arial"/>
                <w:color w:val="000000"/>
                <w:sz w:val="24"/>
                <w:szCs w:val="24"/>
              </w:rPr>
            </w:pPr>
            <w:r w:rsidRPr="003900DB">
              <w:rPr>
                <w:rFonts w:ascii="Soberana Sans" w:hAnsi="Soberana Sans" w:cs="Arial"/>
                <w:color w:val="000000"/>
                <w:sz w:val="24"/>
                <w:szCs w:val="24"/>
              </w:rPr>
              <w:t>Estilos de aprendizaje, el participante mediante un cuestionario conocerá cuál es su estilo de aprendizaje.</w:t>
            </w:r>
          </w:p>
          <w:p w:rsidR="003900DB" w:rsidRPr="003900DB" w:rsidRDefault="003900DB" w:rsidP="00DC79D1">
            <w:pPr>
              <w:pStyle w:val="Prrafodelista"/>
              <w:numPr>
                <w:ilvl w:val="2"/>
                <w:numId w:val="1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Soberana Sans" w:hAnsi="Soberana Sans" w:cs="Arial"/>
                <w:color w:val="000000"/>
                <w:sz w:val="24"/>
                <w:szCs w:val="24"/>
              </w:rPr>
            </w:pPr>
            <w:r w:rsidRPr="003900DB">
              <w:rPr>
                <w:rFonts w:ascii="Soberana Sans" w:hAnsi="Soberana Sans" w:cs="Arial"/>
                <w:color w:val="000000"/>
                <w:sz w:val="24"/>
                <w:szCs w:val="24"/>
              </w:rPr>
              <w:t>el participante conocerá las características generales de los diferentes estilos de aprendizaje.</w:t>
            </w:r>
          </w:p>
          <w:p w:rsidR="003900DB" w:rsidRPr="003900DB" w:rsidRDefault="003900DB" w:rsidP="00DC79D1">
            <w:pPr>
              <w:pStyle w:val="Prrafodelista"/>
              <w:numPr>
                <w:ilvl w:val="2"/>
                <w:numId w:val="1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Soberana Sans" w:hAnsi="Soberana Sans" w:cs="Arial"/>
                <w:color w:val="000000"/>
                <w:sz w:val="24"/>
                <w:szCs w:val="24"/>
              </w:rPr>
            </w:pPr>
            <w:r w:rsidRPr="003900DB">
              <w:rPr>
                <w:rFonts w:ascii="Soberana Sans" w:hAnsi="Soberana Sans" w:cs="Arial"/>
                <w:color w:val="000000"/>
                <w:sz w:val="24"/>
                <w:szCs w:val="24"/>
              </w:rPr>
              <w:t>Mediante el análisis del video, se podrá observar que además de los estilos de aprendizaje influyen más características en los estudiantes en cuanto a su aprendizaje.</w:t>
            </w:r>
          </w:p>
          <w:p w:rsidR="003900DB" w:rsidRPr="003900DB" w:rsidRDefault="003900DB" w:rsidP="00DC79D1">
            <w:pPr>
              <w:pStyle w:val="Prrafodelista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Soberana Sans" w:hAnsi="Soberana Sans" w:cs="Arial"/>
                <w:color w:val="000000"/>
                <w:sz w:val="24"/>
                <w:szCs w:val="24"/>
              </w:rPr>
            </w:pPr>
            <w:r w:rsidRPr="003900DB">
              <w:rPr>
                <w:rFonts w:ascii="Soberana Sans" w:hAnsi="Soberana Sans" w:cs="Arial"/>
                <w:color w:val="000000"/>
                <w:sz w:val="24"/>
                <w:szCs w:val="24"/>
              </w:rPr>
              <w:t xml:space="preserve">inteligencias múltiples, el participante analizará el video de las inteligencias múltiples, preparándolo para el tema de escenarios de </w:t>
            </w:r>
            <w:r w:rsidRPr="003900DB">
              <w:rPr>
                <w:rFonts w:ascii="Soberana Sans" w:hAnsi="Soberana Sans" w:cs="Arial"/>
                <w:color w:val="000000"/>
                <w:sz w:val="24"/>
                <w:szCs w:val="24"/>
              </w:rPr>
              <w:lastRenderedPageBreak/>
              <w:t>aprendizaje en aula.</w:t>
            </w:r>
          </w:p>
          <w:p w:rsidR="003900DB" w:rsidRPr="003900DB" w:rsidRDefault="003900DB" w:rsidP="00DC79D1">
            <w:pPr>
              <w:pStyle w:val="Prrafodelista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Soberana Sans" w:hAnsi="Soberana Sans" w:cs="Arial"/>
                <w:color w:val="000000"/>
                <w:sz w:val="24"/>
                <w:szCs w:val="24"/>
              </w:rPr>
            </w:pPr>
            <w:r w:rsidRPr="003900DB">
              <w:rPr>
                <w:rFonts w:ascii="Soberana Sans" w:hAnsi="Soberana Sans" w:cs="Arial"/>
                <w:color w:val="000000"/>
                <w:sz w:val="24"/>
                <w:szCs w:val="24"/>
              </w:rPr>
              <w:t>Escenarios de aprendizaje, el participante analizará la lectura M3-2.3 Escenarios de aprendizaje para retomarla en su práctica docente.</w:t>
            </w:r>
          </w:p>
          <w:p w:rsidR="003900DB" w:rsidRPr="003900DB" w:rsidRDefault="003900DB" w:rsidP="00DC79D1">
            <w:pPr>
              <w:pStyle w:val="Prrafodelista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Soberana Sans" w:hAnsi="Soberana Sans" w:cs="Arial"/>
                <w:color w:val="000000"/>
                <w:sz w:val="24"/>
                <w:szCs w:val="24"/>
              </w:rPr>
            </w:pPr>
          </w:p>
          <w:p w:rsidR="003900DB" w:rsidRPr="003900DB" w:rsidRDefault="003900DB" w:rsidP="00DC79D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oberana Sans" w:hAnsi="Soberana Sans" w:cs="Arial Black"/>
                <w:bCs/>
                <w:color w:val="000000"/>
                <w:sz w:val="24"/>
                <w:szCs w:val="24"/>
              </w:rPr>
            </w:pPr>
          </w:p>
        </w:tc>
      </w:tr>
      <w:tr w:rsidR="003900DB" w:rsidRPr="003900DB" w:rsidTr="003900DB">
        <w:tc>
          <w:tcPr>
            <w:tcW w:w="4489" w:type="dxa"/>
          </w:tcPr>
          <w:p w:rsidR="003900DB" w:rsidRPr="003900DB" w:rsidRDefault="003900DB" w:rsidP="00DC79D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oberana Sans" w:hAnsi="Soberana Sans" w:cs="Arial Black"/>
                <w:bCs/>
                <w:color w:val="000000"/>
                <w:sz w:val="24"/>
                <w:szCs w:val="24"/>
              </w:rPr>
            </w:pPr>
            <w:r w:rsidRPr="003900DB">
              <w:rPr>
                <w:rFonts w:ascii="Soberana Sans" w:hAnsi="Soberana Sans" w:cs="Arial Black"/>
                <w:bCs/>
                <w:color w:val="000000"/>
                <w:sz w:val="24"/>
                <w:szCs w:val="24"/>
              </w:rPr>
              <w:lastRenderedPageBreak/>
              <w:t>3. Proyecto general del módulo</w:t>
            </w:r>
          </w:p>
        </w:tc>
        <w:tc>
          <w:tcPr>
            <w:tcW w:w="8733" w:type="dxa"/>
          </w:tcPr>
          <w:p w:rsidR="003900DB" w:rsidRPr="003900DB" w:rsidRDefault="003900DB" w:rsidP="00DC79D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Soberana Sans" w:hAnsi="Soberana Sans" w:cs="Arial"/>
                <w:color w:val="000000"/>
                <w:sz w:val="24"/>
                <w:szCs w:val="24"/>
              </w:rPr>
            </w:pPr>
            <w:r w:rsidRPr="003900DB">
              <w:rPr>
                <w:rFonts w:ascii="Soberana Sans" w:hAnsi="Soberana Sans" w:cs="Arial"/>
                <w:color w:val="000000"/>
                <w:sz w:val="24"/>
                <w:szCs w:val="24"/>
              </w:rPr>
              <w:t>Elaboración de la instrumentación didáctica 2016</w:t>
            </w:r>
          </w:p>
        </w:tc>
      </w:tr>
    </w:tbl>
    <w:p w:rsidR="00DE352B" w:rsidRPr="003900DB" w:rsidRDefault="00DE352B" w:rsidP="003900DB">
      <w:pPr>
        <w:autoSpaceDE w:val="0"/>
        <w:autoSpaceDN w:val="0"/>
        <w:adjustRightInd w:val="0"/>
        <w:spacing w:after="0" w:line="240" w:lineRule="auto"/>
        <w:jc w:val="both"/>
        <w:rPr>
          <w:rFonts w:ascii="Soberana Sans" w:eastAsia="Calibri" w:hAnsi="Soberana Sans" w:cs="Arial"/>
          <w:color w:val="000000"/>
          <w:sz w:val="24"/>
          <w:szCs w:val="24"/>
          <w:highlight w:val="yellow"/>
        </w:rPr>
      </w:pPr>
    </w:p>
    <w:sectPr w:rsidR="00DE352B" w:rsidRPr="003900DB" w:rsidSect="003900DB">
      <w:head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885" w:rsidRDefault="00D92885" w:rsidP="00375DBE">
      <w:pPr>
        <w:spacing w:after="0" w:line="240" w:lineRule="auto"/>
      </w:pPr>
      <w:r>
        <w:separator/>
      </w:r>
    </w:p>
  </w:endnote>
  <w:endnote w:type="continuationSeparator" w:id="0">
    <w:p w:rsidR="00D92885" w:rsidRDefault="00D92885" w:rsidP="00375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berana Sans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oberana Sans Light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885" w:rsidRDefault="00D92885" w:rsidP="00375DBE">
      <w:pPr>
        <w:spacing w:after="0" w:line="240" w:lineRule="auto"/>
      </w:pPr>
      <w:r>
        <w:separator/>
      </w:r>
    </w:p>
  </w:footnote>
  <w:footnote w:type="continuationSeparator" w:id="0">
    <w:p w:rsidR="00D92885" w:rsidRDefault="00D92885" w:rsidP="00375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DBE" w:rsidRDefault="00375DBE">
    <w:pPr>
      <w:pStyle w:val="Encabezado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FA039B" wp14:editId="0A693C4F">
              <wp:simplePos x="0" y="0"/>
              <wp:positionH relativeFrom="column">
                <wp:posOffset>4713768</wp:posOffset>
              </wp:positionH>
              <wp:positionV relativeFrom="paragraph">
                <wp:posOffset>201354</wp:posOffset>
              </wp:positionV>
              <wp:extent cx="3187331" cy="418214"/>
              <wp:effectExtent l="0" t="0" r="0" b="127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87331" cy="41821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5DBE" w:rsidRPr="00896ECA" w:rsidRDefault="00375DBE" w:rsidP="00AB43AE">
                          <w:pPr>
                            <w:ind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pacing w:val="20"/>
                            </w:rPr>
                          </w:pPr>
                          <w:r w:rsidRPr="00896ECA">
                            <w:rPr>
                              <w:rFonts w:ascii="Soberana Sans Light" w:hAnsi="Soberana Sans Light" w:cs="Arial"/>
                              <w:b/>
                              <w:color w:val="737373"/>
                            </w:rPr>
                            <w:t>TECNOLÓGICO NACIONAL DE MÉXICO</w:t>
                          </w:r>
                        </w:p>
                        <w:p w:rsidR="00375DBE" w:rsidRPr="00A44E22" w:rsidRDefault="00375DBE" w:rsidP="00AB43AE">
                          <w:pPr>
                            <w:ind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:rsidR="00375DBE" w:rsidRPr="00820EA8" w:rsidRDefault="00375DBE" w:rsidP="00AB43AE">
                          <w:pPr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:rsidR="00375DBE" w:rsidRDefault="00375DBE" w:rsidP="00AB43AE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371.15pt;margin-top:15.85pt;width:250.95pt;height:3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" filled="f" stroked="f">
              <v:textbox>
                <w:txbxContent>
                  <w:p w:rsidR="00375DBE" w:rsidRPr="00896ECA" w:rsidRDefault="00375DBE" w:rsidP="00AB43AE">
                    <w:pPr>
                      <w:ind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pacing w:val="20"/>
                      </w:rPr>
                    </w:pPr>
                    <w:r w:rsidRPr="00896ECA">
                      <w:rPr>
                        <w:rFonts w:ascii="Soberana Sans Light" w:hAnsi="Soberana Sans Light" w:cs="Arial"/>
                        <w:b/>
                        <w:color w:val="737373"/>
                      </w:rPr>
                      <w:t>TECNOLÓGICO NACIONAL DE MÉXICO</w:t>
                    </w:r>
                  </w:p>
                  <w:p w:rsidR="00375DBE" w:rsidRPr="00A44E22" w:rsidRDefault="00375DBE" w:rsidP="00AB43AE">
                    <w:pPr>
                      <w:ind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:rsidR="00375DBE" w:rsidRPr="00820EA8" w:rsidRDefault="00375DBE" w:rsidP="00AB43AE">
                    <w:pPr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:rsidR="00375DBE" w:rsidRDefault="00375DBE" w:rsidP="00AB43AE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 wp14:anchorId="023B64DD" wp14:editId="3B9934AC">
          <wp:simplePos x="0" y="0"/>
          <wp:positionH relativeFrom="column">
            <wp:posOffset>-490220</wp:posOffset>
          </wp:positionH>
          <wp:positionV relativeFrom="paragraph">
            <wp:posOffset>-53975</wp:posOffset>
          </wp:positionV>
          <wp:extent cx="2497455" cy="1075055"/>
          <wp:effectExtent l="0" t="0" r="0" b="0"/>
          <wp:wrapTopAndBottom/>
          <wp:docPr id="1" name="Imagen 1" descr="LOGO SEP SOBERAN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LOGO SEP SOBERAN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7455" cy="1075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625D6"/>
    <w:multiLevelType w:val="multilevel"/>
    <w:tmpl w:val="7A72EB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4D5B81"/>
    <w:multiLevelType w:val="hybridMultilevel"/>
    <w:tmpl w:val="ECE817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5B0C92"/>
    <w:multiLevelType w:val="hybridMultilevel"/>
    <w:tmpl w:val="CE60C3C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E70F2A"/>
    <w:multiLevelType w:val="multilevel"/>
    <w:tmpl w:val="048A68A2"/>
    <w:lvl w:ilvl="0">
      <w:start w:val="2"/>
      <w:numFmt w:val="decimal"/>
      <w:lvlText w:val="%1"/>
      <w:lvlJc w:val="left"/>
      <w:pPr>
        <w:ind w:left="450" w:hanging="45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4320" w:hanging="216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cs="Arial" w:hint="default"/>
      </w:rPr>
    </w:lvl>
  </w:abstractNum>
  <w:abstractNum w:abstractNumId="4">
    <w:nsid w:val="3CED7E88"/>
    <w:multiLevelType w:val="hybridMultilevel"/>
    <w:tmpl w:val="2DCC7518"/>
    <w:lvl w:ilvl="0" w:tplc="1DF213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5F388A"/>
    <w:multiLevelType w:val="hybridMultilevel"/>
    <w:tmpl w:val="7B7E13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CC27DA"/>
    <w:multiLevelType w:val="hybridMultilevel"/>
    <w:tmpl w:val="5DBA0F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F617D3"/>
    <w:multiLevelType w:val="hybridMultilevel"/>
    <w:tmpl w:val="6736E92E"/>
    <w:lvl w:ilvl="0" w:tplc="A3848F5E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514119"/>
    <w:multiLevelType w:val="hybridMultilevel"/>
    <w:tmpl w:val="082CE83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B71F69"/>
    <w:multiLevelType w:val="multilevel"/>
    <w:tmpl w:val="52B2C8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73357846"/>
    <w:multiLevelType w:val="multilevel"/>
    <w:tmpl w:val="AD5AD4A6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">
    <w:nsid w:val="744E2F77"/>
    <w:multiLevelType w:val="hybridMultilevel"/>
    <w:tmpl w:val="17F0A6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655CDE"/>
    <w:multiLevelType w:val="hybridMultilevel"/>
    <w:tmpl w:val="F544BCF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12"/>
  </w:num>
  <w:num w:numId="5">
    <w:abstractNumId w:val="6"/>
  </w:num>
  <w:num w:numId="6">
    <w:abstractNumId w:val="1"/>
  </w:num>
  <w:num w:numId="7">
    <w:abstractNumId w:val="4"/>
  </w:num>
  <w:num w:numId="8">
    <w:abstractNumId w:val="5"/>
  </w:num>
  <w:num w:numId="9">
    <w:abstractNumId w:val="7"/>
  </w:num>
  <w:num w:numId="10">
    <w:abstractNumId w:val="3"/>
  </w:num>
  <w:num w:numId="11">
    <w:abstractNumId w:val="10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C85"/>
    <w:rsid w:val="00017A0E"/>
    <w:rsid w:val="0005169B"/>
    <w:rsid w:val="00053448"/>
    <w:rsid w:val="000609B5"/>
    <w:rsid w:val="000621A7"/>
    <w:rsid w:val="00063D9B"/>
    <w:rsid w:val="00064B08"/>
    <w:rsid w:val="0009019D"/>
    <w:rsid w:val="000D474B"/>
    <w:rsid w:val="000D540F"/>
    <w:rsid w:val="000D7465"/>
    <w:rsid w:val="000F2AA5"/>
    <w:rsid w:val="001635E6"/>
    <w:rsid w:val="001A23DD"/>
    <w:rsid w:val="001C6C55"/>
    <w:rsid w:val="001E326B"/>
    <w:rsid w:val="002A28CD"/>
    <w:rsid w:val="002B2E82"/>
    <w:rsid w:val="002B73F8"/>
    <w:rsid w:val="002B74CE"/>
    <w:rsid w:val="002D00E6"/>
    <w:rsid w:val="002E5958"/>
    <w:rsid w:val="002F30DA"/>
    <w:rsid w:val="003006FE"/>
    <w:rsid w:val="00314E10"/>
    <w:rsid w:val="003224E9"/>
    <w:rsid w:val="00370BE3"/>
    <w:rsid w:val="00375DBE"/>
    <w:rsid w:val="003766D4"/>
    <w:rsid w:val="003863EC"/>
    <w:rsid w:val="003900DB"/>
    <w:rsid w:val="003A124A"/>
    <w:rsid w:val="003A2419"/>
    <w:rsid w:val="003B424C"/>
    <w:rsid w:val="003E03E3"/>
    <w:rsid w:val="003E67BE"/>
    <w:rsid w:val="003F1470"/>
    <w:rsid w:val="004336F7"/>
    <w:rsid w:val="00446398"/>
    <w:rsid w:val="004720C2"/>
    <w:rsid w:val="00490B14"/>
    <w:rsid w:val="00492EA0"/>
    <w:rsid w:val="00493EA2"/>
    <w:rsid w:val="004A620A"/>
    <w:rsid w:val="004D0059"/>
    <w:rsid w:val="004E1FF8"/>
    <w:rsid w:val="004E231D"/>
    <w:rsid w:val="004E4896"/>
    <w:rsid w:val="00504486"/>
    <w:rsid w:val="0051063F"/>
    <w:rsid w:val="005214F8"/>
    <w:rsid w:val="00557FBF"/>
    <w:rsid w:val="00585DB1"/>
    <w:rsid w:val="005B3720"/>
    <w:rsid w:val="005B5424"/>
    <w:rsid w:val="005B5E32"/>
    <w:rsid w:val="005B60E1"/>
    <w:rsid w:val="005C617E"/>
    <w:rsid w:val="005C7CDF"/>
    <w:rsid w:val="005D3A6C"/>
    <w:rsid w:val="005F2634"/>
    <w:rsid w:val="00676541"/>
    <w:rsid w:val="006956C7"/>
    <w:rsid w:val="006A104C"/>
    <w:rsid w:val="006B1B3E"/>
    <w:rsid w:val="006F22D6"/>
    <w:rsid w:val="00714624"/>
    <w:rsid w:val="00733DEF"/>
    <w:rsid w:val="0077071E"/>
    <w:rsid w:val="007A190E"/>
    <w:rsid w:val="007B08F0"/>
    <w:rsid w:val="007C0F1C"/>
    <w:rsid w:val="007C747C"/>
    <w:rsid w:val="007E4FB3"/>
    <w:rsid w:val="007E7F94"/>
    <w:rsid w:val="00803053"/>
    <w:rsid w:val="008224DA"/>
    <w:rsid w:val="008545F1"/>
    <w:rsid w:val="008632CA"/>
    <w:rsid w:val="008828DB"/>
    <w:rsid w:val="008D7645"/>
    <w:rsid w:val="009413DB"/>
    <w:rsid w:val="00947261"/>
    <w:rsid w:val="00984488"/>
    <w:rsid w:val="009A1B1E"/>
    <w:rsid w:val="009C34DE"/>
    <w:rsid w:val="009F38B7"/>
    <w:rsid w:val="00A00BD3"/>
    <w:rsid w:val="00A0241F"/>
    <w:rsid w:val="00A65BCF"/>
    <w:rsid w:val="00A77F1E"/>
    <w:rsid w:val="00A87811"/>
    <w:rsid w:val="00A90098"/>
    <w:rsid w:val="00A9288E"/>
    <w:rsid w:val="00AD44D9"/>
    <w:rsid w:val="00AE1BA2"/>
    <w:rsid w:val="00AE5261"/>
    <w:rsid w:val="00B04DD0"/>
    <w:rsid w:val="00B73817"/>
    <w:rsid w:val="00B77B25"/>
    <w:rsid w:val="00C076B0"/>
    <w:rsid w:val="00C25717"/>
    <w:rsid w:val="00C45A7D"/>
    <w:rsid w:val="00C54740"/>
    <w:rsid w:val="00C60026"/>
    <w:rsid w:val="00C60A4D"/>
    <w:rsid w:val="00C84306"/>
    <w:rsid w:val="00D121EA"/>
    <w:rsid w:val="00D219C7"/>
    <w:rsid w:val="00D41CAA"/>
    <w:rsid w:val="00D545C9"/>
    <w:rsid w:val="00D65C85"/>
    <w:rsid w:val="00D71DAE"/>
    <w:rsid w:val="00D80D91"/>
    <w:rsid w:val="00D92885"/>
    <w:rsid w:val="00DA38A5"/>
    <w:rsid w:val="00DB76B5"/>
    <w:rsid w:val="00DC79D1"/>
    <w:rsid w:val="00DE352B"/>
    <w:rsid w:val="00E1285F"/>
    <w:rsid w:val="00E22BF5"/>
    <w:rsid w:val="00E265E2"/>
    <w:rsid w:val="00E37859"/>
    <w:rsid w:val="00E55DC4"/>
    <w:rsid w:val="00E610A9"/>
    <w:rsid w:val="00E7463E"/>
    <w:rsid w:val="00E749AB"/>
    <w:rsid w:val="00EA340D"/>
    <w:rsid w:val="00EC525C"/>
    <w:rsid w:val="00F541EB"/>
    <w:rsid w:val="00F710AA"/>
    <w:rsid w:val="00F74B76"/>
    <w:rsid w:val="00FA3B2D"/>
    <w:rsid w:val="00FD1D90"/>
    <w:rsid w:val="00FF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25717"/>
    <w:pPr>
      <w:ind w:left="720"/>
      <w:contextualSpacing/>
    </w:pPr>
  </w:style>
  <w:style w:type="paragraph" w:customStyle="1" w:styleId="Default">
    <w:name w:val="Default"/>
    <w:rsid w:val="007E7F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375DB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5DBE"/>
  </w:style>
  <w:style w:type="paragraph" w:styleId="Piedepgina">
    <w:name w:val="footer"/>
    <w:basedOn w:val="Normal"/>
    <w:link w:val="PiedepginaCar"/>
    <w:uiPriority w:val="99"/>
    <w:unhideWhenUsed/>
    <w:rsid w:val="00375DB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5DBE"/>
  </w:style>
  <w:style w:type="table" w:styleId="Tablaconcuadrcula">
    <w:name w:val="Table Grid"/>
    <w:basedOn w:val="Tablanormal"/>
    <w:uiPriority w:val="59"/>
    <w:rsid w:val="00E12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25717"/>
    <w:pPr>
      <w:ind w:left="720"/>
      <w:contextualSpacing/>
    </w:pPr>
  </w:style>
  <w:style w:type="paragraph" w:customStyle="1" w:styleId="Default">
    <w:name w:val="Default"/>
    <w:rsid w:val="007E7F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375DB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5DBE"/>
  </w:style>
  <w:style w:type="paragraph" w:styleId="Piedepgina">
    <w:name w:val="footer"/>
    <w:basedOn w:val="Normal"/>
    <w:link w:val="PiedepginaCar"/>
    <w:uiPriority w:val="99"/>
    <w:unhideWhenUsed/>
    <w:rsid w:val="00375DB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5DBE"/>
  </w:style>
  <w:style w:type="table" w:styleId="Tablaconcuadrcula">
    <w:name w:val="Table Grid"/>
    <w:basedOn w:val="Tablanormal"/>
    <w:uiPriority w:val="59"/>
    <w:rsid w:val="00E12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178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Sofía Barrón Pérez</dc:creator>
  <cp:lastModifiedBy>SOFIA</cp:lastModifiedBy>
  <cp:revision>11</cp:revision>
  <dcterms:created xsi:type="dcterms:W3CDTF">2016-05-24T21:42:00Z</dcterms:created>
  <dcterms:modified xsi:type="dcterms:W3CDTF">2016-06-24T22:24:00Z</dcterms:modified>
</cp:coreProperties>
</file>